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312" w:type="dxa"/>
        <w:tblInd w:w="-1310" w:type="dxa"/>
        <w:tblLook w:val="04A0"/>
      </w:tblPr>
      <w:tblGrid>
        <w:gridCol w:w="11312"/>
      </w:tblGrid>
      <w:tr w:rsidR="00155480" w:rsidTr="00170EF1">
        <w:trPr>
          <w:trHeight w:val="4818"/>
        </w:trPr>
        <w:tc>
          <w:tcPr>
            <w:tcW w:w="11312" w:type="dxa"/>
            <w:tcBorders>
              <w:top w:val="single" w:sz="4" w:space="0" w:color="auto"/>
              <w:left w:val="single" w:sz="4" w:space="0" w:color="auto"/>
              <w:bottom w:val="single" w:sz="4" w:space="0" w:color="auto"/>
              <w:right w:val="single" w:sz="4" w:space="0" w:color="auto"/>
            </w:tcBorders>
          </w:tcPr>
          <w:p w:rsidR="00155480" w:rsidRDefault="00155480" w:rsidP="00170EF1">
            <w:pPr>
              <w:pStyle w:val="ConsPlusNormal"/>
              <w:jc w:val="both"/>
              <w:rPr>
                <w:sz w:val="28"/>
                <w:szCs w:val="28"/>
                <w:lang w:eastAsia="en-US"/>
              </w:rPr>
            </w:pPr>
          </w:p>
          <w:tbl>
            <w:tblPr>
              <w:tblStyle w:val="a3"/>
              <w:tblW w:w="11086" w:type="dxa"/>
              <w:tblLook w:val="04A0"/>
            </w:tblPr>
            <w:tblGrid>
              <w:gridCol w:w="4859"/>
              <w:gridCol w:w="6227"/>
            </w:tblGrid>
            <w:tr w:rsidR="00155480" w:rsidTr="00170EF1">
              <w:tc>
                <w:tcPr>
                  <w:tcW w:w="4859" w:type="dxa"/>
                  <w:tcBorders>
                    <w:top w:val="single" w:sz="4" w:space="0" w:color="auto"/>
                    <w:left w:val="single" w:sz="4" w:space="0" w:color="auto"/>
                    <w:bottom w:val="single" w:sz="4" w:space="0" w:color="auto"/>
                    <w:right w:val="single" w:sz="4" w:space="0" w:color="auto"/>
                  </w:tcBorders>
                  <w:hideMark/>
                </w:tcPr>
                <w:p w:rsidR="00155480" w:rsidRDefault="00155480" w:rsidP="00170EF1">
                  <w:pPr>
                    <w:pStyle w:val="ConsPlusNormal"/>
                    <w:tabs>
                      <w:tab w:val="left" w:pos="87"/>
                    </w:tabs>
                    <w:ind w:left="-822"/>
                    <w:jc w:val="both"/>
                    <w:rPr>
                      <w:sz w:val="28"/>
                      <w:szCs w:val="28"/>
                      <w:lang w:eastAsia="en-US"/>
                    </w:rPr>
                  </w:pPr>
                  <w:r>
                    <w:rPr>
                      <w:sz w:val="28"/>
                      <w:szCs w:val="28"/>
                      <w:lang w:eastAsia="en-US"/>
                    </w:rPr>
                    <w:tab/>
                  </w:r>
                  <w:r>
                    <w:rPr>
                      <w:noProof/>
                    </w:rPr>
                    <w:drawing>
                      <wp:inline distT="0" distB="0" distL="0" distR="0">
                        <wp:extent cx="2743200" cy="1704975"/>
                        <wp:effectExtent l="0" t="0" r="0" b="9525"/>
                        <wp:docPr id="1" name="Рисунок 1" descr="http://www.eseur.ru/Images/hot4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eur.ru/Images/hot4167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43200" cy="1704975"/>
                                </a:xfrm>
                                <a:prstGeom prst="rect">
                                  <a:avLst/>
                                </a:prstGeom>
                                <a:noFill/>
                                <a:ln>
                                  <a:noFill/>
                                </a:ln>
                              </pic:spPr>
                            </pic:pic>
                          </a:graphicData>
                        </a:graphic>
                      </wp:inline>
                    </w:drawing>
                  </w:r>
                </w:p>
              </w:tc>
              <w:tc>
                <w:tcPr>
                  <w:tcW w:w="6227" w:type="dxa"/>
                  <w:tcBorders>
                    <w:top w:val="single" w:sz="4" w:space="0" w:color="auto"/>
                    <w:left w:val="single" w:sz="4" w:space="0" w:color="auto"/>
                    <w:bottom w:val="single" w:sz="4" w:space="0" w:color="auto"/>
                    <w:right w:val="single" w:sz="4" w:space="0" w:color="auto"/>
                  </w:tcBorders>
                </w:tcPr>
                <w:p w:rsidR="00155480" w:rsidRPr="002B36EE" w:rsidRDefault="00155480" w:rsidP="00170EF1">
                  <w:pPr>
                    <w:jc w:val="center"/>
                    <w:rPr>
                      <w:b/>
                      <w:szCs w:val="28"/>
                    </w:rPr>
                  </w:pPr>
                  <w:r w:rsidRPr="002B36EE">
                    <w:rPr>
                      <w:b/>
                      <w:szCs w:val="28"/>
                    </w:rPr>
                    <w:t>ОБЩЕРОССИЙСКИЙ ПРОФСОЮЗ ОБРАЗОВАНИЯ</w:t>
                  </w:r>
                </w:p>
                <w:p w:rsidR="00155480" w:rsidRDefault="00155480" w:rsidP="00170EF1">
                  <w:pPr>
                    <w:jc w:val="center"/>
                    <w:rPr>
                      <w:sz w:val="28"/>
                      <w:szCs w:val="28"/>
                    </w:rPr>
                  </w:pPr>
                </w:p>
                <w:p w:rsidR="00155480" w:rsidRDefault="00155480" w:rsidP="00170EF1">
                  <w:pPr>
                    <w:jc w:val="center"/>
                    <w:rPr>
                      <w:b/>
                      <w:sz w:val="28"/>
                      <w:szCs w:val="28"/>
                    </w:rPr>
                  </w:pPr>
                  <w:r>
                    <w:rPr>
                      <w:b/>
                      <w:sz w:val="28"/>
                      <w:szCs w:val="28"/>
                    </w:rPr>
                    <w:t xml:space="preserve">КАЛУЖСКАЯ ОБЛАСТНАЯ ОРГАНИЗАЦИЯ </w:t>
                  </w:r>
                </w:p>
                <w:p w:rsidR="00155480" w:rsidRDefault="00155480" w:rsidP="00170EF1">
                  <w:pPr>
                    <w:pBdr>
                      <w:bottom w:val="single" w:sz="12" w:space="1" w:color="auto"/>
                    </w:pBdr>
                    <w:jc w:val="center"/>
                    <w:rPr>
                      <w:b/>
                      <w:sz w:val="28"/>
                      <w:szCs w:val="28"/>
                    </w:rPr>
                  </w:pPr>
                  <w:r>
                    <w:rPr>
                      <w:b/>
                      <w:sz w:val="28"/>
                      <w:szCs w:val="28"/>
                    </w:rPr>
                    <w:t>ОБЛАСТНОЙ КОМИТЕТ ПРОФСОЮЗА</w:t>
                  </w:r>
                </w:p>
                <w:p w:rsidR="00155480" w:rsidRDefault="00155480" w:rsidP="00155480">
                  <w:pPr>
                    <w:pStyle w:val="ConsPlusTitle"/>
                    <w:rPr>
                      <w:sz w:val="32"/>
                      <w:szCs w:val="32"/>
                      <w:lang w:eastAsia="en-US"/>
                    </w:rPr>
                  </w:pPr>
                  <w:r>
                    <w:rPr>
                      <w:sz w:val="32"/>
                      <w:szCs w:val="32"/>
                      <w:lang w:eastAsia="en-US"/>
                    </w:rPr>
                    <w:t>Информационный листок №10.</w:t>
                  </w:r>
                </w:p>
                <w:p w:rsidR="00155480" w:rsidRPr="00155480" w:rsidRDefault="00155480" w:rsidP="00170EF1">
                  <w:pPr>
                    <w:pStyle w:val="ConsPlusTitle"/>
                    <w:jc w:val="center"/>
                    <w:rPr>
                      <w:color w:val="FF0000"/>
                      <w:lang w:eastAsia="en-US"/>
                    </w:rPr>
                  </w:pPr>
                  <w:r w:rsidRPr="00155480">
                    <w:rPr>
                      <w:rFonts w:ascii="Verdana" w:hAnsi="Verdana"/>
                      <w:color w:val="FF0000"/>
                      <w:sz w:val="20"/>
                      <w:bdr w:val="none" w:sz="0" w:space="0" w:color="auto" w:frame="1"/>
                      <w:lang w:eastAsia="en-US"/>
                    </w:rPr>
                    <w:t xml:space="preserve">Ответы </w:t>
                  </w:r>
                  <w:proofErr w:type="spellStart"/>
                  <w:r w:rsidRPr="00155480">
                    <w:rPr>
                      <w:rFonts w:ascii="Verdana" w:hAnsi="Verdana"/>
                      <w:color w:val="FF0000"/>
                      <w:sz w:val="20"/>
                      <w:bdr w:val="none" w:sz="0" w:space="0" w:color="auto" w:frame="1"/>
                      <w:lang w:eastAsia="en-US"/>
                    </w:rPr>
                    <w:t>Роструда</w:t>
                  </w:r>
                  <w:proofErr w:type="spellEnd"/>
                  <w:r w:rsidRPr="00155480">
                    <w:rPr>
                      <w:rFonts w:ascii="Verdana" w:hAnsi="Verdana"/>
                      <w:color w:val="FF0000"/>
                      <w:sz w:val="20"/>
                      <w:bdr w:val="none" w:sz="0" w:space="0" w:color="auto" w:frame="1"/>
                      <w:lang w:eastAsia="en-US"/>
                    </w:rPr>
                    <w:t xml:space="preserve"> на актуальные вопросы за февраль 2019 года</w:t>
                  </w:r>
                </w:p>
                <w:p w:rsidR="00155480" w:rsidRDefault="00155480" w:rsidP="00170EF1">
                  <w:pPr>
                    <w:pStyle w:val="ConsPlusNormal"/>
                    <w:jc w:val="both"/>
                    <w:rPr>
                      <w:sz w:val="28"/>
                      <w:szCs w:val="28"/>
                      <w:lang w:eastAsia="en-US"/>
                    </w:rPr>
                  </w:pPr>
                </w:p>
              </w:tc>
            </w:tr>
          </w:tbl>
          <w:tbl>
            <w:tblPr>
              <w:tblW w:w="10971" w:type="dxa"/>
              <w:shd w:val="clear" w:color="auto" w:fill="FFFFFF"/>
              <w:tblCellMar>
                <w:left w:w="0" w:type="dxa"/>
                <w:right w:w="0" w:type="dxa"/>
              </w:tblCellMar>
              <w:tblLook w:val="04A0"/>
            </w:tblPr>
            <w:tblGrid>
              <w:gridCol w:w="2891"/>
              <w:gridCol w:w="8080"/>
            </w:tblGrid>
            <w:tr w:rsidR="00155480" w:rsidRPr="000933ED" w:rsidTr="00155480">
              <w:trPr>
                <w:trHeight w:val="60"/>
              </w:trPr>
              <w:tc>
                <w:tcPr>
                  <w:tcW w:w="28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155480" w:rsidRPr="000933ED" w:rsidRDefault="00155480" w:rsidP="00170EF1">
                  <w:pPr>
                    <w:pStyle w:val="a5"/>
                    <w:spacing w:before="0" w:beforeAutospacing="0" w:after="0" w:afterAutospacing="0"/>
                    <w:jc w:val="both"/>
                    <w:textAlignment w:val="baseline"/>
                    <w:rPr>
                      <w:rFonts w:ascii="Verdana" w:hAnsi="Verdana"/>
                      <w:color w:val="000000"/>
                      <w:sz w:val="20"/>
                      <w:szCs w:val="20"/>
                      <w:lang w:eastAsia="en-US"/>
                    </w:rPr>
                  </w:pPr>
                  <w:r w:rsidRPr="000933ED">
                    <w:rPr>
                      <w:rStyle w:val="a6"/>
                      <w:rFonts w:ascii="Verdana" w:hAnsi="Verdana"/>
                      <w:color w:val="000000"/>
                      <w:sz w:val="20"/>
                      <w:szCs w:val="20"/>
                      <w:bdr w:val="none" w:sz="0" w:space="0" w:color="auto" w:frame="1"/>
                      <w:lang w:eastAsia="en-US"/>
                    </w:rPr>
                    <w:t>Вопрос</w:t>
                  </w:r>
                </w:p>
              </w:tc>
              <w:tc>
                <w:tcPr>
                  <w:tcW w:w="8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155480" w:rsidRPr="000933ED" w:rsidRDefault="00155480" w:rsidP="00170EF1">
                  <w:pPr>
                    <w:pStyle w:val="a5"/>
                    <w:spacing w:before="0" w:beforeAutospacing="0" w:after="0" w:afterAutospacing="0"/>
                    <w:jc w:val="both"/>
                    <w:textAlignment w:val="baseline"/>
                    <w:rPr>
                      <w:rFonts w:ascii="Verdana" w:hAnsi="Verdana"/>
                      <w:color w:val="000000"/>
                      <w:sz w:val="20"/>
                      <w:szCs w:val="20"/>
                      <w:lang w:eastAsia="en-US"/>
                    </w:rPr>
                  </w:pPr>
                  <w:r w:rsidRPr="000933ED">
                    <w:rPr>
                      <w:rStyle w:val="a6"/>
                      <w:rFonts w:ascii="Verdana" w:hAnsi="Verdana"/>
                      <w:color w:val="000000"/>
                      <w:sz w:val="20"/>
                      <w:szCs w:val="20"/>
                      <w:bdr w:val="none" w:sz="0" w:space="0" w:color="auto" w:frame="1"/>
                      <w:lang w:eastAsia="en-US"/>
                    </w:rPr>
                    <w:t>Ответ</w:t>
                  </w:r>
                </w:p>
              </w:tc>
            </w:tr>
            <w:tr w:rsidR="00155480" w:rsidRPr="000933ED" w:rsidTr="00155480">
              <w:tc>
                <w:tcPr>
                  <w:tcW w:w="28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480" w:rsidRPr="000933ED" w:rsidRDefault="00155480" w:rsidP="00170EF1">
                  <w:pPr>
                    <w:pStyle w:val="a5"/>
                    <w:spacing w:before="0" w:beforeAutospacing="0" w:after="0" w:afterAutospacing="0"/>
                    <w:jc w:val="both"/>
                    <w:textAlignment w:val="baseline"/>
                    <w:rPr>
                      <w:rFonts w:ascii="Verdana" w:hAnsi="Verdana"/>
                      <w:color w:val="000000"/>
                      <w:sz w:val="20"/>
                      <w:szCs w:val="20"/>
                      <w:lang w:eastAsia="en-US"/>
                    </w:rPr>
                  </w:pPr>
                  <w:r w:rsidRPr="00155480">
                    <w:rPr>
                      <w:rFonts w:ascii="Verdana" w:hAnsi="Verdana"/>
                      <w:color w:val="1F4E79" w:themeColor="accent1" w:themeShade="80"/>
                      <w:sz w:val="20"/>
                      <w:szCs w:val="20"/>
                      <w:bdr w:val="none" w:sz="0" w:space="0" w:color="auto" w:frame="1"/>
                      <w:lang w:eastAsia="en-US"/>
                    </w:rPr>
                    <w:t>Дистанционный работник проживает в местности, приравненной к районам Крайнего Севера. Обязан ли работодатель при выплате ему зарплаты учитывать районный коэффициент и процентную надбавку? При этом работодатель не владеет точной информацией о месте выполнения работником трудовой функции.</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480" w:rsidRPr="00155480" w:rsidRDefault="00155480" w:rsidP="00155480">
                  <w:pPr>
                    <w:pStyle w:val="a5"/>
                    <w:spacing w:before="0" w:beforeAutospacing="0" w:after="0" w:afterAutospacing="0"/>
                    <w:jc w:val="both"/>
                    <w:textAlignment w:val="baseline"/>
                    <w:rPr>
                      <w:rFonts w:ascii="Verdana" w:eastAsiaTheme="minorHAnsi" w:hAnsi="Verdana"/>
                      <w:color w:val="000000"/>
                      <w:sz w:val="20"/>
                      <w:szCs w:val="20"/>
                      <w:lang w:eastAsia="en-US"/>
                    </w:rPr>
                  </w:pPr>
                  <w:r w:rsidRPr="000933ED">
                    <w:rPr>
                      <w:rFonts w:ascii="Verdana" w:hAnsi="Verdana"/>
                      <w:color w:val="000000"/>
                      <w:sz w:val="20"/>
                      <w:szCs w:val="20"/>
                      <w:bdr w:val="none" w:sz="0" w:space="0" w:color="auto" w:frame="1"/>
                      <w:lang w:eastAsia="en-US"/>
                    </w:rPr>
                    <w:t>Да, обязан.</w:t>
                  </w:r>
                  <w:r w:rsidR="00B61466" w:rsidRPr="00B61466">
                    <w:rPr>
                      <w:rFonts w:ascii="Verdana" w:hAnsi="Verdana"/>
                      <w:color w:val="000000"/>
                      <w:sz w:val="20"/>
                      <w:szCs w:val="20"/>
                      <w:bdr w:val="none" w:sz="0" w:space="0" w:color="auto" w:frame="1"/>
                      <w:lang w:eastAsia="en-US"/>
                    </w:rPr>
                    <w:t xml:space="preserve"> </w:t>
                  </w:r>
                  <w:r w:rsidRPr="000933ED">
                    <w:rPr>
                      <w:rFonts w:ascii="Verdana" w:hAnsi="Verdana"/>
                      <w:sz w:val="20"/>
                      <w:szCs w:val="20"/>
                      <w:shd w:val="clear" w:color="auto" w:fill="FFFFFF"/>
                    </w:rPr>
                    <w:t>Если в трудовом договоре место выполнения работы дистанционным работником не указано и он при этом зарегистрирован в местности, приравненной к районам Крайнего Севера, то работодатель должен выплачивать такому работнику районный коэффициент и процентную надбавку к заработной плате.При необходимости дополнительным соглашением к трудовому договору возможно определить место, являющееся местом выполнения работником д</w:t>
                  </w:r>
                  <w:bookmarkStart w:id="0" w:name="_GoBack"/>
                  <w:bookmarkEnd w:id="0"/>
                  <w:r w:rsidRPr="000933ED">
                    <w:rPr>
                      <w:rFonts w:ascii="Verdana" w:hAnsi="Verdana"/>
                      <w:sz w:val="20"/>
                      <w:szCs w:val="20"/>
                      <w:shd w:val="clear" w:color="auto" w:fill="FFFFFF"/>
                    </w:rPr>
                    <w:t>истанционной работы.</w:t>
                  </w:r>
                  <w:r w:rsidR="00CA3A95" w:rsidRPr="00CA3A95">
                    <w:rPr>
                      <w:rFonts w:ascii="Verdana" w:hAnsi="Verdana"/>
                      <w:sz w:val="20"/>
                      <w:szCs w:val="20"/>
                      <w:shd w:val="clear" w:color="auto" w:fill="FFFFFF"/>
                    </w:rPr>
                    <w:t xml:space="preserve"> </w:t>
                  </w:r>
                  <w:r w:rsidRPr="000933ED">
                    <w:rPr>
                      <w:rFonts w:ascii="Verdana" w:hAnsi="Verdana"/>
                      <w:color w:val="000000"/>
                      <w:sz w:val="20"/>
                      <w:szCs w:val="20"/>
                    </w:rPr>
                    <w:t xml:space="preserve">Отметим, что позиция </w:t>
                  </w:r>
                  <w:proofErr w:type="spellStart"/>
                  <w:r w:rsidRPr="000933ED">
                    <w:rPr>
                      <w:rFonts w:ascii="Verdana" w:hAnsi="Verdana"/>
                      <w:color w:val="000000"/>
                      <w:sz w:val="20"/>
                      <w:szCs w:val="20"/>
                    </w:rPr>
                    <w:t>Роструда</w:t>
                  </w:r>
                  <w:proofErr w:type="spellEnd"/>
                  <w:r w:rsidRPr="000933ED">
                    <w:rPr>
                      <w:rFonts w:ascii="Verdana" w:hAnsi="Verdana"/>
                      <w:color w:val="000000"/>
                      <w:sz w:val="20"/>
                      <w:szCs w:val="20"/>
                    </w:rPr>
                    <w:t xml:space="preserve"> согласуется с </w:t>
                  </w:r>
                  <w:hyperlink r:id="rId5" w:history="1">
                    <w:r w:rsidRPr="000933ED">
                      <w:rPr>
                        <w:rStyle w:val="a4"/>
                        <w:rFonts w:ascii="Verdana" w:hAnsi="Verdana"/>
                        <w:sz w:val="20"/>
                        <w:szCs w:val="20"/>
                      </w:rPr>
                      <w:t>позицией</w:t>
                    </w:r>
                  </w:hyperlink>
                  <w:r w:rsidRPr="000933ED">
                    <w:rPr>
                      <w:rFonts w:ascii="Verdana" w:hAnsi="Verdana"/>
                      <w:color w:val="000000"/>
                      <w:sz w:val="20"/>
                      <w:szCs w:val="20"/>
                    </w:rPr>
                    <w:t xml:space="preserve"> ВС РФ, согласно которой районный коэффициент и процентная надбавка начисляются к заработной плате работника в зависимости от места выполнения им трудовой функции, а не от места нахождения работодателя, в штате которого состоит работник (</w:t>
                  </w:r>
                  <w:hyperlink r:id="rId6" w:history="1">
                    <w:r w:rsidRPr="000933ED">
                      <w:rPr>
                        <w:rStyle w:val="a4"/>
                        <w:rFonts w:ascii="Verdana" w:hAnsi="Verdana"/>
                        <w:sz w:val="20"/>
                        <w:szCs w:val="20"/>
                      </w:rPr>
                      <w:t>Обзор</w:t>
                    </w:r>
                  </w:hyperlink>
                  <w:r w:rsidRPr="000933ED">
                    <w:rPr>
                      <w:rFonts w:ascii="Verdana" w:hAnsi="Verdana"/>
                      <w:sz w:val="20"/>
                      <w:szCs w:val="20"/>
                    </w:rPr>
                    <w:t xml:space="preserve"> утв. Президиумом Верховного Суда РФ 26.02.2014).</w:t>
                  </w:r>
                </w:p>
              </w:tc>
            </w:tr>
            <w:tr w:rsidR="00155480" w:rsidRPr="000933ED" w:rsidTr="00155480">
              <w:tc>
                <w:tcPr>
                  <w:tcW w:w="28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480" w:rsidRPr="000933ED" w:rsidRDefault="00155480" w:rsidP="00170EF1">
                  <w:pPr>
                    <w:pStyle w:val="a5"/>
                    <w:spacing w:before="0" w:beforeAutospacing="0" w:after="0" w:afterAutospacing="0"/>
                    <w:jc w:val="both"/>
                    <w:textAlignment w:val="baseline"/>
                    <w:rPr>
                      <w:rFonts w:ascii="Verdana" w:hAnsi="Verdana"/>
                      <w:color w:val="000000"/>
                      <w:sz w:val="20"/>
                      <w:szCs w:val="20"/>
                      <w:lang w:eastAsia="en-US"/>
                    </w:rPr>
                  </w:pPr>
                  <w:r w:rsidRPr="00155480">
                    <w:rPr>
                      <w:rFonts w:ascii="Verdana" w:hAnsi="Verdana"/>
                      <w:color w:val="00B050"/>
                      <w:sz w:val="20"/>
                      <w:szCs w:val="20"/>
                      <w:lang w:eastAsia="en-US"/>
                    </w:rPr>
                    <w:t>Может ли работник, имеющий троих детей в возрасте до 12 лет, брать ежегодный отпуск в любое время и любыми частями?</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480" w:rsidRPr="000933ED" w:rsidRDefault="00155480" w:rsidP="00170EF1">
                  <w:pPr>
                    <w:pStyle w:val="a5"/>
                    <w:spacing w:before="0" w:beforeAutospacing="0" w:after="0" w:afterAutospacing="0"/>
                    <w:jc w:val="both"/>
                    <w:textAlignment w:val="baseline"/>
                    <w:rPr>
                      <w:rFonts w:ascii="Verdana" w:eastAsiaTheme="minorHAnsi" w:hAnsi="Verdana"/>
                      <w:color w:val="000000"/>
                      <w:sz w:val="20"/>
                      <w:szCs w:val="20"/>
                      <w:lang w:eastAsia="en-US"/>
                    </w:rPr>
                  </w:pPr>
                  <w:r w:rsidRPr="000933ED">
                    <w:rPr>
                      <w:rFonts w:ascii="Verdana" w:hAnsi="Verdana"/>
                      <w:color w:val="000000"/>
                      <w:sz w:val="20"/>
                      <w:szCs w:val="20"/>
                      <w:lang w:eastAsia="en-US"/>
                    </w:rPr>
                    <w:t xml:space="preserve">Да, такой многодетный работник вправе использовать ежегодный отпуск в удобное для него время. </w:t>
                  </w:r>
                </w:p>
                <w:p w:rsidR="00155480" w:rsidRPr="000933ED" w:rsidRDefault="00155480" w:rsidP="00170EF1">
                  <w:pPr>
                    <w:pStyle w:val="a5"/>
                    <w:spacing w:before="0" w:beforeAutospacing="0" w:after="0" w:afterAutospacing="0"/>
                    <w:jc w:val="both"/>
                    <w:textAlignment w:val="baseline"/>
                    <w:rPr>
                      <w:rFonts w:ascii="Verdana" w:hAnsi="Verdana"/>
                      <w:color w:val="000000"/>
                      <w:sz w:val="20"/>
                      <w:szCs w:val="20"/>
                      <w:lang w:eastAsia="en-US"/>
                    </w:rPr>
                  </w:pPr>
                  <w:r w:rsidRPr="000933ED">
                    <w:rPr>
                      <w:rFonts w:ascii="Verdana" w:hAnsi="Verdana"/>
                      <w:color w:val="000000"/>
                      <w:sz w:val="20"/>
                      <w:szCs w:val="20"/>
                      <w:lang w:eastAsia="en-US"/>
                    </w:rPr>
                    <w:t>При этом возможность разделения отпуска на части должна быть согласована с работодателем. И хотя бы одна из частей отпуска должна составлять минимум 14 календарных дней.</w:t>
                  </w:r>
                </w:p>
              </w:tc>
            </w:tr>
            <w:tr w:rsidR="00155480" w:rsidRPr="000933ED" w:rsidTr="00155480">
              <w:tc>
                <w:tcPr>
                  <w:tcW w:w="28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480" w:rsidRPr="000933ED" w:rsidRDefault="00155480" w:rsidP="00170EF1">
                  <w:pPr>
                    <w:pStyle w:val="a5"/>
                    <w:spacing w:before="0" w:beforeAutospacing="0" w:after="0" w:afterAutospacing="0"/>
                    <w:jc w:val="both"/>
                    <w:textAlignment w:val="baseline"/>
                    <w:rPr>
                      <w:rFonts w:ascii="Verdana" w:hAnsi="Verdana"/>
                      <w:color w:val="000000"/>
                      <w:sz w:val="20"/>
                      <w:szCs w:val="20"/>
                      <w:lang w:eastAsia="en-US"/>
                    </w:rPr>
                  </w:pPr>
                  <w:r w:rsidRPr="00155480">
                    <w:rPr>
                      <w:rFonts w:ascii="Verdana" w:hAnsi="Verdana"/>
                      <w:color w:val="C00000"/>
                      <w:sz w:val="20"/>
                      <w:szCs w:val="20"/>
                      <w:lang w:eastAsia="en-US"/>
                    </w:rPr>
                    <w:t>В каком порядке беременной работнице отпросится у работодателя для прохождения диспансерных обследований у врача? Нужно ли предоставлять документы?</w:t>
                  </w:r>
                </w:p>
              </w:tc>
              <w:tc>
                <w:tcPr>
                  <w:tcW w:w="8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480" w:rsidRPr="000933ED" w:rsidRDefault="00155480" w:rsidP="00170EF1">
                  <w:pPr>
                    <w:pStyle w:val="a5"/>
                    <w:spacing w:before="0" w:beforeAutospacing="0" w:after="0" w:afterAutospacing="0"/>
                    <w:jc w:val="both"/>
                    <w:textAlignment w:val="baseline"/>
                    <w:rPr>
                      <w:rFonts w:ascii="Verdana" w:eastAsiaTheme="minorHAnsi" w:hAnsi="Verdana"/>
                      <w:sz w:val="20"/>
                      <w:szCs w:val="20"/>
                      <w:shd w:val="clear" w:color="auto" w:fill="FFFFFF"/>
                      <w:lang w:eastAsia="en-US"/>
                    </w:rPr>
                  </w:pPr>
                  <w:r w:rsidRPr="000933ED">
                    <w:rPr>
                      <w:rFonts w:ascii="Verdana" w:hAnsi="Verdana"/>
                      <w:sz w:val="20"/>
                      <w:szCs w:val="20"/>
                      <w:shd w:val="clear" w:color="auto" w:fill="FFFFFF"/>
                      <w:lang w:eastAsia="en-US"/>
                    </w:rPr>
                    <w:t>Трудовым законодательством не определен ни порядок освобождения от работы беременной женщины для прохождения обязательного диспансерного обследования, ни перечень документов, подтверждающих прохождение обязательного диспансерного обследования, ни максимальная продолжительность отсутствия на работе по данной причине</w:t>
                  </w:r>
                  <w:r>
                    <w:rPr>
                      <w:rFonts w:ascii="Verdana" w:hAnsi="Verdana"/>
                      <w:sz w:val="20"/>
                      <w:szCs w:val="20"/>
                      <w:lang w:eastAsia="en-US"/>
                    </w:rPr>
                    <w:t xml:space="preserve">.  </w:t>
                  </w:r>
                  <w:proofErr w:type="spellStart"/>
                  <w:r w:rsidRPr="000933ED">
                    <w:rPr>
                      <w:rFonts w:ascii="Verdana" w:hAnsi="Verdana"/>
                      <w:sz w:val="20"/>
                      <w:szCs w:val="20"/>
                      <w:shd w:val="clear" w:color="auto" w:fill="FFFFFF"/>
                      <w:lang w:eastAsia="en-US"/>
                    </w:rPr>
                    <w:t>Роструд</w:t>
                  </w:r>
                  <w:proofErr w:type="spellEnd"/>
                  <w:r w:rsidRPr="000933ED">
                    <w:rPr>
                      <w:rFonts w:ascii="Verdana" w:hAnsi="Verdana"/>
                      <w:sz w:val="20"/>
                      <w:szCs w:val="20"/>
                      <w:shd w:val="clear" w:color="auto" w:fill="FFFFFF"/>
                      <w:lang w:eastAsia="en-US"/>
                    </w:rPr>
                    <w:t xml:space="preserve"> предлагает следующий алгоритм действий: </w:t>
                  </w:r>
                </w:p>
                <w:p w:rsidR="00155480" w:rsidRPr="000933ED" w:rsidRDefault="00155480" w:rsidP="00170EF1">
                  <w:pPr>
                    <w:pStyle w:val="a5"/>
                    <w:spacing w:before="0" w:beforeAutospacing="0" w:after="0" w:afterAutospacing="0"/>
                    <w:jc w:val="both"/>
                    <w:textAlignment w:val="baseline"/>
                    <w:rPr>
                      <w:rFonts w:ascii="Verdana" w:hAnsi="Verdana"/>
                      <w:sz w:val="20"/>
                      <w:szCs w:val="20"/>
                      <w:shd w:val="clear" w:color="auto" w:fill="FFFFFF"/>
                      <w:lang w:eastAsia="en-US"/>
                    </w:rPr>
                  </w:pPr>
                  <w:r w:rsidRPr="000933ED">
                    <w:rPr>
                      <w:rFonts w:ascii="Verdana" w:hAnsi="Verdana"/>
                      <w:sz w:val="20"/>
                      <w:szCs w:val="20"/>
                      <w:lang w:eastAsia="en-US"/>
                    </w:rPr>
                    <w:t>–</w:t>
                  </w:r>
                  <w:r w:rsidRPr="000933ED">
                    <w:rPr>
                      <w:rFonts w:ascii="Verdana" w:hAnsi="Verdana"/>
                      <w:sz w:val="20"/>
                      <w:szCs w:val="20"/>
                      <w:shd w:val="clear" w:color="auto" w:fill="FFFFFF"/>
                      <w:lang w:eastAsia="en-US"/>
                    </w:rPr>
                    <w:t xml:space="preserve"> накануне прохождения обязательного диспансерного обследования беременная женщина в письменной форме информирует об этом работодателя и просит об освобождении от работы; </w:t>
                  </w:r>
                </w:p>
                <w:p w:rsidR="00155480" w:rsidRPr="000933ED" w:rsidRDefault="00155480" w:rsidP="00170EF1">
                  <w:pPr>
                    <w:pStyle w:val="a5"/>
                    <w:spacing w:before="0" w:beforeAutospacing="0" w:after="0" w:afterAutospacing="0"/>
                    <w:jc w:val="both"/>
                    <w:textAlignment w:val="baseline"/>
                    <w:rPr>
                      <w:rFonts w:ascii="Verdana" w:hAnsi="Verdana"/>
                      <w:color w:val="000000"/>
                      <w:sz w:val="20"/>
                      <w:szCs w:val="20"/>
                      <w:lang w:eastAsia="en-US"/>
                    </w:rPr>
                  </w:pPr>
                  <w:r w:rsidRPr="000933ED">
                    <w:rPr>
                      <w:rFonts w:ascii="Verdana" w:hAnsi="Verdana"/>
                      <w:sz w:val="20"/>
                      <w:szCs w:val="20"/>
                      <w:lang w:eastAsia="en-US"/>
                    </w:rPr>
                    <w:t>–</w:t>
                  </w:r>
                  <w:r w:rsidRPr="000933ED">
                    <w:rPr>
                      <w:rFonts w:ascii="Verdana" w:hAnsi="Verdana"/>
                      <w:sz w:val="20"/>
                      <w:szCs w:val="20"/>
                      <w:shd w:val="clear" w:color="auto" w:fill="FFFFFF"/>
                      <w:lang w:eastAsia="en-US"/>
                    </w:rPr>
                    <w:t xml:space="preserve"> прохождение обязательного диспансерного обследования подтверждается справкой медицинского учреждения с указанием даты и времени посещения врача.</w:t>
                  </w:r>
                  <w:r w:rsidRPr="000933ED">
                    <w:rPr>
                      <w:rFonts w:ascii="Verdana" w:hAnsi="Verdana"/>
                      <w:sz w:val="20"/>
                      <w:szCs w:val="20"/>
                      <w:lang w:eastAsia="en-US"/>
                    </w:rPr>
                    <w:br/>
                  </w:r>
                  <w:r w:rsidRPr="000933ED">
                    <w:rPr>
                      <w:rFonts w:ascii="Verdana" w:hAnsi="Verdana"/>
                      <w:sz w:val="20"/>
                      <w:szCs w:val="20"/>
                      <w:shd w:val="clear" w:color="auto" w:fill="FFFFFF"/>
                      <w:lang w:eastAsia="en-US"/>
                    </w:rPr>
                    <w:t>Ведомство напоминает, что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w:t>
                  </w:r>
                  <w:hyperlink r:id="rId7" w:history="1">
                    <w:r w:rsidRPr="000933ED">
                      <w:rPr>
                        <w:rStyle w:val="a4"/>
                        <w:rFonts w:ascii="Verdana" w:hAnsi="Verdana"/>
                        <w:sz w:val="20"/>
                        <w:szCs w:val="20"/>
                        <w:shd w:val="clear" w:color="auto" w:fill="FFFFFF"/>
                        <w:lang w:eastAsia="en-US"/>
                      </w:rPr>
                      <w:t>ч. 3 ст. 254</w:t>
                    </w:r>
                  </w:hyperlink>
                  <w:r w:rsidRPr="000933ED">
                    <w:rPr>
                      <w:rFonts w:ascii="Verdana" w:hAnsi="Verdana"/>
                      <w:sz w:val="20"/>
                      <w:szCs w:val="20"/>
                      <w:shd w:val="clear" w:color="auto" w:fill="FFFFFF"/>
                      <w:lang w:eastAsia="en-US"/>
                    </w:rPr>
                    <w:t xml:space="preserve"> ТК РФ).</w:t>
                  </w:r>
                </w:p>
              </w:tc>
            </w:tr>
          </w:tbl>
          <w:p w:rsidR="00155480" w:rsidRDefault="00155480" w:rsidP="00170EF1">
            <w:pPr>
              <w:pStyle w:val="ConsPlusNormal"/>
              <w:jc w:val="both"/>
              <w:rPr>
                <w:sz w:val="28"/>
                <w:szCs w:val="28"/>
                <w:lang w:eastAsia="en-US"/>
              </w:rPr>
            </w:pPr>
          </w:p>
        </w:tc>
      </w:tr>
      <w:tr w:rsidR="00155480" w:rsidTr="00170EF1">
        <w:tc>
          <w:tcPr>
            <w:tcW w:w="11312" w:type="dxa"/>
            <w:tcBorders>
              <w:top w:val="single" w:sz="4" w:space="0" w:color="auto"/>
              <w:left w:val="single" w:sz="4" w:space="0" w:color="auto"/>
              <w:bottom w:val="single" w:sz="4" w:space="0" w:color="auto"/>
              <w:right w:val="single" w:sz="4" w:space="0" w:color="auto"/>
            </w:tcBorders>
          </w:tcPr>
          <w:p w:rsidR="00155480" w:rsidRDefault="00155480" w:rsidP="00170EF1">
            <w:pPr>
              <w:pStyle w:val="ConsPlusNormal"/>
              <w:jc w:val="both"/>
              <w:rPr>
                <w:sz w:val="28"/>
                <w:szCs w:val="28"/>
                <w:lang w:eastAsia="en-US"/>
              </w:rPr>
            </w:pPr>
          </w:p>
        </w:tc>
      </w:tr>
      <w:tr w:rsidR="00155480" w:rsidTr="00170EF1">
        <w:tc>
          <w:tcPr>
            <w:tcW w:w="11312" w:type="dxa"/>
            <w:tcBorders>
              <w:top w:val="single" w:sz="4" w:space="0" w:color="auto"/>
              <w:left w:val="single" w:sz="4" w:space="0" w:color="auto"/>
              <w:bottom w:val="single" w:sz="4" w:space="0" w:color="auto"/>
              <w:right w:val="single" w:sz="4" w:space="0" w:color="auto"/>
            </w:tcBorders>
          </w:tcPr>
          <w:p w:rsidR="00155480" w:rsidRDefault="00155480" w:rsidP="00170EF1">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Калужская областная организация Профсоюза работников народного образования и науки РФ</w:t>
            </w:r>
          </w:p>
          <w:p w:rsidR="00155480" w:rsidRDefault="00155480" w:rsidP="00170EF1">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 xml:space="preserve">Тел.факс: 57-64-69,  </w:t>
            </w:r>
            <w:proofErr w:type="spellStart"/>
            <w:r>
              <w:rPr>
                <w:rFonts w:ascii="Arial" w:hAnsi="Arial" w:cs="Arial"/>
                <w:b/>
                <w:bCs/>
                <w:sz w:val="18"/>
                <w:szCs w:val="18"/>
                <w:lang w:val="en-US"/>
              </w:rPr>
              <w:t>prokaluga</w:t>
            </w:r>
            <w:proofErr w:type="spellEnd"/>
            <w:r>
              <w:rPr>
                <w:rFonts w:ascii="Arial" w:hAnsi="Arial" w:cs="Arial"/>
                <w:b/>
                <w:bCs/>
                <w:sz w:val="18"/>
                <w:szCs w:val="18"/>
              </w:rPr>
              <w:t>@</w:t>
            </w:r>
            <w:r>
              <w:rPr>
                <w:rFonts w:ascii="Arial" w:hAnsi="Arial" w:cs="Arial"/>
                <w:b/>
                <w:bCs/>
                <w:sz w:val="18"/>
                <w:szCs w:val="18"/>
                <w:lang w:val="en-US"/>
              </w:rPr>
              <w:t>mail</w:t>
            </w:r>
            <w:r>
              <w:rPr>
                <w:rFonts w:ascii="Arial" w:hAnsi="Arial" w:cs="Arial"/>
                <w:b/>
                <w:bCs/>
                <w:sz w:val="18"/>
                <w:szCs w:val="18"/>
              </w:rPr>
              <w:t>.</w:t>
            </w:r>
            <w:proofErr w:type="spellStart"/>
            <w:r>
              <w:rPr>
                <w:rFonts w:ascii="Arial" w:hAnsi="Arial" w:cs="Arial"/>
                <w:b/>
                <w:bCs/>
                <w:sz w:val="18"/>
                <w:szCs w:val="18"/>
                <w:lang w:val="en-US"/>
              </w:rPr>
              <w:t>ru</w:t>
            </w:r>
            <w:proofErr w:type="spellEnd"/>
          </w:p>
          <w:p w:rsidR="00155480" w:rsidRDefault="00155480" w:rsidP="00170EF1">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8"/>
                <w:szCs w:val="18"/>
              </w:rPr>
            </w:pPr>
            <w:r>
              <w:rPr>
                <w:rFonts w:ascii="Arial" w:hAnsi="Arial" w:cs="Arial"/>
                <w:b/>
                <w:sz w:val="18"/>
                <w:szCs w:val="18"/>
              </w:rPr>
              <w:t>Калуга, март, 2019</w:t>
            </w:r>
          </w:p>
          <w:p w:rsidR="00155480" w:rsidRDefault="00155480" w:rsidP="00170EF1">
            <w:pPr>
              <w:pBdr>
                <w:top w:val="single" w:sz="4" w:space="1" w:color="auto"/>
                <w:left w:val="single" w:sz="4" w:space="4" w:color="auto"/>
                <w:bottom w:val="single" w:sz="4" w:space="1" w:color="auto"/>
                <w:right w:val="single" w:sz="4" w:space="4" w:color="auto"/>
              </w:pBdr>
              <w:tabs>
                <w:tab w:val="left" w:pos="6030"/>
              </w:tabs>
              <w:jc w:val="center"/>
              <w:rPr>
                <w:sz w:val="28"/>
                <w:szCs w:val="28"/>
              </w:rPr>
            </w:pPr>
          </w:p>
        </w:tc>
      </w:tr>
    </w:tbl>
    <w:p w:rsidR="00155480" w:rsidRDefault="00155480" w:rsidP="00155480"/>
    <w:p w:rsidR="00155480" w:rsidRDefault="00155480" w:rsidP="00155480">
      <w:pPr>
        <w:ind w:left="-851"/>
      </w:pPr>
    </w:p>
    <w:p w:rsidR="00740E62" w:rsidRDefault="00740E62"/>
    <w:sectPr w:rsidR="00740E62" w:rsidSect="005D506E">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5480"/>
    <w:rsid w:val="00155480"/>
    <w:rsid w:val="00740E62"/>
    <w:rsid w:val="00B61466"/>
    <w:rsid w:val="00BB05AA"/>
    <w:rsid w:val="00CA3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4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480"/>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155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5480"/>
    <w:rPr>
      <w:color w:val="0000FF"/>
      <w:u w:val="single"/>
    </w:rPr>
  </w:style>
  <w:style w:type="paragraph" w:styleId="a5">
    <w:name w:val="Normal (Web)"/>
    <w:basedOn w:val="a"/>
    <w:uiPriority w:val="99"/>
    <w:unhideWhenUsed/>
    <w:rsid w:val="0015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55480"/>
    <w:rPr>
      <w:b/>
      <w:bCs/>
    </w:rPr>
  </w:style>
  <w:style w:type="paragraph" w:styleId="a7">
    <w:name w:val="Balloon Text"/>
    <w:basedOn w:val="a"/>
    <w:link w:val="a8"/>
    <w:uiPriority w:val="99"/>
    <w:semiHidden/>
    <w:unhideWhenUsed/>
    <w:rsid w:val="00B614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14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F51EA1C1F25C4826EA2B3013B0F97F11C53DA51C041F796AD81ACAA8EEFD303A5FB07DF1ED51C52CA951A1814D445C7AF39A476C242D6Em9f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7B5A4BDD27B6AD13EC512305BBE8D21C2BDC6634E67C7A04855C3BEA7D027AC24FA8011A45D1E2688DADB482802DCF664DAEE92DAD51C8Q2EEJ" TargetMode="External"/><Relationship Id="rId5" Type="http://schemas.openxmlformats.org/officeDocument/2006/relationships/hyperlink" Target="consultantplus://offline/ref=2FEF885442D3A3266ED68C43CC20C48C5ABEF4EB9428A363CB21F9522A35C78F0EE793B2EB07C077DE3FA8025C4DCFA2CD5574C9A432A6EESEDCJ"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pavx</cp:lastModifiedBy>
  <cp:revision>3</cp:revision>
  <dcterms:created xsi:type="dcterms:W3CDTF">2019-03-29T09:27:00Z</dcterms:created>
  <dcterms:modified xsi:type="dcterms:W3CDTF">2019-03-29T12:57:00Z</dcterms:modified>
</cp:coreProperties>
</file>