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2" w:type="dxa"/>
        <w:tblInd w:w="-1310" w:type="dxa"/>
        <w:tblLook w:val="04A0" w:firstRow="1" w:lastRow="0" w:firstColumn="1" w:lastColumn="0" w:noHBand="0" w:noVBand="1"/>
      </w:tblPr>
      <w:tblGrid>
        <w:gridCol w:w="11312"/>
      </w:tblGrid>
      <w:tr w:rsidR="003A19BC" w:rsidTr="00BB34F1">
        <w:trPr>
          <w:trHeight w:val="3676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BB34F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3A19BC" w:rsidTr="003A19BC">
              <w:trPr>
                <w:trHeight w:val="2753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9BC" w:rsidRDefault="003A19BC" w:rsidP="00BB34F1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 wp14:anchorId="3F613363" wp14:editId="0EFD232D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9BC" w:rsidRDefault="003A19BC" w:rsidP="003A19B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3A19BC" w:rsidRPr="003A19BC" w:rsidRDefault="003A19BC" w:rsidP="003A19B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</w:t>
                  </w: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A19BC" w:rsidRDefault="003A19BC" w:rsidP="00BB34F1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3A19BC" w:rsidRDefault="005A6894" w:rsidP="003A19B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№14</w:t>
                  </w:r>
                  <w:bookmarkStart w:id="0" w:name="_GoBack"/>
                  <w:bookmarkEnd w:id="0"/>
                  <w:r w:rsidR="003A19BC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3A19BC" w:rsidRDefault="003A19BC" w:rsidP="003A19BC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Минтруд информирует.</w:t>
                  </w:r>
                </w:p>
                <w:p w:rsidR="003A19BC" w:rsidRDefault="003A19BC" w:rsidP="00BB34F1">
                  <w:pPr>
                    <w:pStyle w:val="ConsPlusTitle"/>
                    <w:jc w:val="center"/>
                    <w:rPr>
                      <w:lang w:eastAsia="en-US"/>
                    </w:rPr>
                  </w:pPr>
                </w:p>
                <w:p w:rsidR="003A19BC" w:rsidRDefault="003A19BC" w:rsidP="00BB34F1">
                  <w:pPr>
                    <w:autoSpaceDE w:val="0"/>
                    <w:autoSpaceDN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19BC" w:rsidRDefault="003A19BC" w:rsidP="00BB34F1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9BC" w:rsidTr="00BB34F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Pr="003A19BC" w:rsidRDefault="003A19BC" w:rsidP="00BB34F1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/>
                <w:bCs/>
                <w:u w:val="single"/>
              </w:rPr>
            </w:pPr>
            <w:r w:rsidRPr="003A19BC">
              <w:rPr>
                <w:rFonts w:ascii="Verdana" w:hAnsi="Verdana"/>
                <w:b/>
                <w:bCs/>
              </w:rPr>
              <w:t>Минтруд разъяснил, как правильно подписать титульный лист трудовой книжки</w:t>
            </w:r>
          </w:p>
          <w:p w:rsidR="003A19BC" w:rsidRPr="003A19BC" w:rsidRDefault="003A19BC" w:rsidP="00BB34F1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  <w:b/>
                <w:bCs/>
                <w:u w:val="single"/>
              </w:rPr>
            </w:pPr>
            <w:r w:rsidRPr="003A19BC">
              <w:rPr>
                <w:rFonts w:ascii="Verdana" w:hAnsi="Verdana"/>
                <w:b/>
                <w:bCs/>
                <w:u w:val="single"/>
              </w:rPr>
              <w:t>Возможности:</w:t>
            </w:r>
            <w:r w:rsidRPr="003A19BC">
              <w:rPr>
                <w:rFonts w:ascii="Verdana" w:hAnsi="Verdana"/>
              </w:rPr>
              <w:t xml:space="preserve"> на титульном листе трудовой книжки работника должна быть разборчиво поставлена только подпись лица, ответственного за ведение трудовых книжек. </w:t>
            </w:r>
          </w:p>
          <w:p w:rsidR="003A19BC" w:rsidRPr="003A19BC" w:rsidRDefault="003A19BC" w:rsidP="00BB34F1">
            <w:pPr>
              <w:autoSpaceDE w:val="0"/>
              <w:autoSpaceDN w:val="0"/>
              <w:jc w:val="both"/>
              <w:rPr>
                <w:rFonts w:ascii="Verdana" w:hAnsi="Verdana"/>
              </w:rPr>
            </w:pPr>
            <w:r w:rsidRPr="003A19BC">
              <w:rPr>
                <w:rFonts w:ascii="Verdana" w:hAnsi="Verdana"/>
              </w:rPr>
              <w:t xml:space="preserve">Согласно </w:t>
            </w:r>
            <w:hyperlink r:id="rId6" w:history="1">
              <w:r w:rsidRPr="003A19BC">
                <w:rPr>
                  <w:rStyle w:val="a4"/>
                  <w:rFonts w:ascii="Verdana" w:hAnsi="Verdana"/>
                </w:rPr>
                <w:t>п.</w:t>
              </w:r>
              <w:r w:rsidRPr="003A19BC">
                <w:rPr>
                  <w:rStyle w:val="a4"/>
                  <w:rFonts w:ascii="Verdana" w:hAnsi="Verdana"/>
                  <w:color w:val="1F497D"/>
                </w:rPr>
                <w:t> </w:t>
              </w:r>
              <w:r w:rsidRPr="003A19BC">
                <w:rPr>
                  <w:rStyle w:val="a4"/>
                  <w:rFonts w:ascii="Verdana" w:hAnsi="Verdana"/>
                </w:rPr>
                <w:t>2.2</w:t>
              </w:r>
            </w:hyperlink>
            <w:r w:rsidRPr="003A19BC">
              <w:rPr>
                <w:rFonts w:ascii="Verdana" w:hAnsi="Verdana"/>
              </w:rPr>
              <w:t xml:space="preserve"> Инструкции по заполнению трудовых книжек первую страницу (титульный лист) трудовой книжки подписывает лицо, ответственное за выдачу трудовых книжек</w:t>
            </w:r>
            <w:r w:rsidRPr="003A19BC">
              <w:rPr>
                <w:rFonts w:ascii="Verdana" w:hAnsi="Verdana"/>
                <w:color w:val="1F497D"/>
              </w:rPr>
              <w:t>.</w:t>
            </w:r>
          </w:p>
          <w:p w:rsidR="003A19BC" w:rsidRPr="003A19BC" w:rsidRDefault="003A19BC" w:rsidP="00BB34F1">
            <w:pPr>
              <w:autoSpaceDE w:val="0"/>
              <w:autoSpaceDN w:val="0"/>
              <w:jc w:val="both"/>
              <w:rPr>
                <w:rFonts w:ascii="Verdana" w:hAnsi="Verdana"/>
              </w:rPr>
            </w:pPr>
            <w:r w:rsidRPr="003A19BC">
              <w:rPr>
                <w:rFonts w:ascii="Verdana" w:hAnsi="Verdana"/>
              </w:rPr>
              <w:t xml:space="preserve">В </w:t>
            </w:r>
            <w:hyperlink r:id="rId7" w:history="1">
              <w:r w:rsidRPr="003A19BC">
                <w:rPr>
                  <w:rStyle w:val="a4"/>
                  <w:rFonts w:ascii="Verdana" w:hAnsi="Verdana"/>
                </w:rPr>
                <w:t>Письме</w:t>
              </w:r>
            </w:hyperlink>
            <w:r w:rsidRPr="003A19BC">
              <w:rPr>
                <w:rFonts w:ascii="Verdana" w:hAnsi="Verdana"/>
              </w:rPr>
              <w:t xml:space="preserve"> от 20.03.2019 N 14-0/В-171 Минтруд отметил, что подпись ответственного работника на </w:t>
            </w:r>
            <w:hyperlink r:id="rId8" w:history="1">
              <w:r w:rsidRPr="003A19BC">
                <w:rPr>
                  <w:rStyle w:val="a4"/>
                  <w:rFonts w:ascii="Verdana" w:hAnsi="Verdana"/>
                </w:rPr>
                <w:t>титульном листе</w:t>
              </w:r>
            </w:hyperlink>
            <w:r w:rsidRPr="003A19BC">
              <w:rPr>
                <w:rFonts w:ascii="Verdana" w:hAnsi="Verdana"/>
              </w:rPr>
              <w:t xml:space="preserve"> трудовой книжки должна быть поставлена разборчиво. Законодательно не установлено требование указывать при этом Ф.И.О. ответственного работника.</w:t>
            </w:r>
          </w:p>
          <w:p w:rsidR="003A19BC" w:rsidRPr="003A19BC" w:rsidRDefault="003A19BC" w:rsidP="00BB34F1">
            <w:pPr>
              <w:autoSpaceDE w:val="0"/>
              <w:autoSpaceDN w:val="0"/>
              <w:jc w:val="both"/>
              <w:rPr>
                <w:rFonts w:ascii="Verdana" w:hAnsi="Verdana"/>
                <w:b/>
              </w:rPr>
            </w:pPr>
            <w:r w:rsidRPr="003A19BC">
              <w:rPr>
                <w:rFonts w:ascii="Verdana" w:hAnsi="Verdana"/>
                <w:b/>
              </w:rPr>
              <w:t>Минтруд рассказал, как предоставить донорские дни при смене места работы и можно ли их заменить денежной компенсацией</w:t>
            </w:r>
          </w:p>
          <w:p w:rsidR="003A19BC" w:rsidRPr="003A19BC" w:rsidRDefault="003A19BC" w:rsidP="00BB34F1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</w:rPr>
            </w:pPr>
            <w:r w:rsidRPr="003A19BC">
              <w:rPr>
                <w:rFonts w:ascii="Verdana" w:hAnsi="Verdana"/>
                <w:b/>
                <w:bCs/>
                <w:u w:val="single"/>
              </w:rPr>
              <w:t>Возможности:</w:t>
            </w:r>
            <w:r w:rsidRPr="003A19BC">
              <w:rPr>
                <w:rFonts w:ascii="Verdana" w:hAnsi="Verdana"/>
              </w:rPr>
              <w:t xml:space="preserve"> новый работодатель не обязан предоставлять работнику-донору день отдыха, если он сдавал кровь, работая еще у предыдущего работодателя.</w:t>
            </w:r>
          </w:p>
          <w:p w:rsidR="003A19BC" w:rsidRPr="003A19BC" w:rsidRDefault="003A19BC" w:rsidP="00BB34F1">
            <w:pPr>
              <w:shd w:val="clear" w:color="auto" w:fill="D9D9D9"/>
              <w:autoSpaceDE w:val="0"/>
              <w:autoSpaceDN w:val="0"/>
              <w:jc w:val="both"/>
              <w:rPr>
                <w:rFonts w:ascii="Verdana" w:hAnsi="Verdana"/>
              </w:rPr>
            </w:pPr>
            <w:r w:rsidRPr="003A19BC">
              <w:rPr>
                <w:rFonts w:ascii="Verdana" w:hAnsi="Verdana"/>
                <w:b/>
                <w:bCs/>
                <w:u w:val="single"/>
              </w:rPr>
              <w:t>Риски:</w:t>
            </w:r>
            <w:r w:rsidRPr="003A19BC">
              <w:rPr>
                <w:rFonts w:ascii="Verdana" w:hAnsi="Verdana"/>
              </w:rPr>
              <w:t xml:space="preserve"> нельзя заменить донорские дни отдыха денежной компенсацией (в том числе при увольнении работника).</w:t>
            </w:r>
          </w:p>
          <w:p w:rsidR="003A19BC" w:rsidRPr="003A19BC" w:rsidRDefault="003A19BC" w:rsidP="00BB34F1">
            <w:pPr>
              <w:autoSpaceDE w:val="0"/>
              <w:autoSpaceDN w:val="0"/>
              <w:jc w:val="both"/>
              <w:rPr>
                <w:rFonts w:ascii="Verdana" w:hAnsi="Verdana"/>
              </w:rPr>
            </w:pPr>
            <w:r w:rsidRPr="003A19BC">
              <w:rPr>
                <w:rFonts w:ascii="Verdana" w:hAnsi="Verdana"/>
              </w:rPr>
              <w:t xml:space="preserve">В </w:t>
            </w:r>
            <w:hyperlink r:id="rId9" w:history="1">
              <w:r w:rsidRPr="003A19BC">
                <w:rPr>
                  <w:rStyle w:val="a4"/>
                  <w:rFonts w:ascii="Verdana" w:hAnsi="Verdana"/>
                </w:rPr>
                <w:t>Письме</w:t>
              </w:r>
            </w:hyperlink>
            <w:r w:rsidRPr="003A19BC">
              <w:rPr>
                <w:rFonts w:ascii="Verdana" w:hAnsi="Verdana"/>
              </w:rPr>
              <w:t xml:space="preserve"> от 25.03.2019 N 14-2/ООГ-2057 Минтруд дал разъяснения работодателям по предоставлению работникам-донорам оплачиваемых дней отдыха:</w:t>
            </w:r>
          </w:p>
          <w:p w:rsidR="003A19BC" w:rsidRPr="003A19BC" w:rsidRDefault="003A19BC" w:rsidP="00BB34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ind w:left="175" w:hanging="141"/>
              <w:jc w:val="both"/>
              <w:rPr>
                <w:rFonts w:ascii="Verdana" w:hAnsi="Verdana"/>
              </w:rPr>
            </w:pPr>
            <w:r w:rsidRPr="003A19BC">
              <w:rPr>
                <w:rFonts w:ascii="Verdana" w:hAnsi="Verdana"/>
              </w:rPr>
              <w:t xml:space="preserve">если работник не использовал </w:t>
            </w:r>
            <w:r w:rsidRPr="003A19BC">
              <w:rPr>
                <w:rFonts w:ascii="Verdana" w:hAnsi="Verdana"/>
                <w:color w:val="000000"/>
                <w:bdr w:val="none" w:sz="0" w:space="0" w:color="auto" w:frame="1"/>
              </w:rPr>
              <w:t>дополнительный день отдыха до увольнения с предыдущего места работы, то новый работодатель не обязан предоставлять ему этот день отдыха (даже если год с момента сдачи крови еще не прошел);</w:t>
            </w:r>
          </w:p>
          <w:p w:rsidR="003A19BC" w:rsidRPr="003A19BC" w:rsidRDefault="003A19BC" w:rsidP="00BB34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ind w:left="175" w:hanging="141"/>
              <w:jc w:val="both"/>
              <w:rPr>
                <w:rStyle w:val="a7"/>
                <w:color w:val="000000"/>
                <w:bdr w:val="none" w:sz="0" w:space="0" w:color="auto" w:frame="1"/>
                <w:shd w:val="clear" w:color="auto" w:fill="FFFFFF"/>
              </w:rPr>
            </w:pPr>
            <w:r w:rsidRPr="003A19BC">
              <w:rPr>
                <w:rStyle w:val="a7"/>
                <w:rFonts w:ascii="Verdana" w:hAnsi="Verdana"/>
                <w:color w:val="000000"/>
                <w:bdr w:val="none" w:sz="0" w:space="0" w:color="auto" w:frame="1"/>
                <w:shd w:val="clear" w:color="auto" w:fill="FFFFFF"/>
              </w:rPr>
              <w:t>законодательством не предусмотрена замена дополнительных дней отдыха за дни сдачи крови денежной компенсацией (в том числе при увольнении).</w:t>
            </w:r>
          </w:p>
          <w:p w:rsidR="003A19BC" w:rsidRPr="003A19BC" w:rsidRDefault="003A19BC" w:rsidP="00BB34F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 w:rsidRPr="003A19BC">
              <w:rPr>
                <w:rFonts w:ascii="Verdana" w:hAnsi="Verdana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Напомним, согласно </w:t>
            </w:r>
            <w:hyperlink r:id="rId10" w:tgtFrame="_blank" w:history="1">
              <w:r w:rsidRPr="003A19BC">
                <w:rPr>
                  <w:rStyle w:val="a4"/>
                  <w:rFonts w:ascii="Verdana" w:hAnsi="Verdana"/>
                  <w:sz w:val="22"/>
                  <w:szCs w:val="22"/>
                  <w:bdr w:val="none" w:sz="0" w:space="0" w:color="auto" w:frame="1"/>
                  <w:lang w:eastAsia="en-US"/>
                </w:rPr>
                <w:t>ст. 186</w:t>
              </w:r>
            </w:hyperlink>
            <w:r w:rsidRPr="003A19BC">
              <w:rPr>
                <w:rFonts w:ascii="Verdana" w:hAnsi="Verdana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 ТК РФ при сдаче крови работнику предоставляются </w:t>
            </w:r>
            <w:hyperlink r:id="rId11" w:tgtFrame="_blank" w:history="1">
              <w:r w:rsidRPr="003A19BC">
                <w:rPr>
                  <w:rStyle w:val="a4"/>
                  <w:rFonts w:ascii="Verdana" w:hAnsi="Verdana"/>
                  <w:sz w:val="22"/>
                  <w:szCs w:val="22"/>
                  <w:bdr w:val="none" w:sz="0" w:space="0" w:color="auto" w:frame="1"/>
                  <w:lang w:eastAsia="en-US"/>
                </w:rPr>
                <w:t>оплачиваемые</w:t>
              </w:r>
            </w:hyperlink>
            <w:r w:rsidRPr="003A19BC">
              <w:rPr>
                <w:rFonts w:ascii="Verdana" w:hAnsi="Verdana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 дни отдыха:</w:t>
            </w:r>
          </w:p>
          <w:p w:rsidR="003A19BC" w:rsidRPr="003A19BC" w:rsidRDefault="003A19BC" w:rsidP="00BB34F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 w:rsidRPr="003A19BC">
              <w:rPr>
                <w:rFonts w:ascii="Verdana" w:hAnsi="Verdana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 – один день освобождения от работы, предоставленный за день сдачи крови и ее компонентов,</w:t>
            </w:r>
          </w:p>
          <w:p w:rsidR="003A19BC" w:rsidRPr="003A19BC" w:rsidRDefault="003A19BC" w:rsidP="00BB34F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7"/>
                <w:b w:val="0"/>
                <w:bCs w:val="0"/>
                <w:sz w:val="22"/>
                <w:szCs w:val="22"/>
                <w:bdr w:val="none" w:sz="0" w:space="0" w:color="auto" w:frame="1"/>
              </w:rPr>
            </w:pPr>
            <w:r w:rsidRPr="003A19BC">
              <w:rPr>
                <w:rFonts w:ascii="Verdana" w:hAnsi="Verdana"/>
                <w:color w:val="000000"/>
                <w:sz w:val="22"/>
                <w:szCs w:val="22"/>
                <w:bdr w:val="none" w:sz="0" w:space="0" w:color="auto" w:frame="1"/>
                <w:lang w:eastAsia="en-US"/>
              </w:rPr>
              <w:t> – один дополнительный день отдыха.</w:t>
            </w:r>
          </w:p>
          <w:p w:rsidR="003A19BC" w:rsidRPr="003A19BC" w:rsidRDefault="003A19BC" w:rsidP="00BB34F1">
            <w:pPr>
              <w:autoSpaceDE w:val="0"/>
              <w:autoSpaceDN w:val="0"/>
              <w:spacing w:after="0" w:line="240" w:lineRule="auto"/>
              <w:jc w:val="both"/>
            </w:pPr>
          </w:p>
        </w:tc>
      </w:tr>
      <w:tr w:rsidR="003A19BC" w:rsidTr="00BB34F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9BC" w:rsidRDefault="003A19BC" w:rsidP="00BB34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3A19BC" w:rsidRDefault="003A19BC" w:rsidP="00BB34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3A19BC" w:rsidRDefault="003A19BC" w:rsidP="00BB34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апрель, 2019</w:t>
            </w:r>
          </w:p>
          <w:p w:rsidR="003A19BC" w:rsidRDefault="003A19BC" w:rsidP="00BB34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A19BC" w:rsidRDefault="003A19BC" w:rsidP="003A19BC"/>
    <w:p w:rsidR="003A19BC" w:rsidRDefault="003A19BC" w:rsidP="003A19BC">
      <w:pPr>
        <w:ind w:left="-851"/>
      </w:pPr>
    </w:p>
    <w:p w:rsidR="004F1B04" w:rsidRDefault="004F1B04"/>
    <w:sectPr w:rsidR="004F1B04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143A"/>
    <w:multiLevelType w:val="hybridMultilevel"/>
    <w:tmpl w:val="6F964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BC"/>
    <w:rsid w:val="003A19BC"/>
    <w:rsid w:val="004F1B04"/>
    <w:rsid w:val="005A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1A88"/>
  <w15:chartTrackingRefBased/>
  <w15:docId w15:val="{FAC206D7-6684-4E8A-94A2-BC1F4AF2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A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19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19BC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a7">
    <w:name w:val="Strong"/>
    <w:basedOn w:val="a0"/>
    <w:uiPriority w:val="22"/>
    <w:qFormat/>
    <w:rsid w:val="003A1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B9063013D0DEE43D88B2A9718A4C679EE99F8EFD0B6697A71F871277FB74F42C4C4A6FC72E813203304DE632D0182EB8914AC8707BE97HBk6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10BD982330F8B95E9C5190C33D287082A5600672E5CF61CFC9F2EDE55263C980EB0D1D547209A4A3DC99E56D8558784D6810CF2004506F91FF9F9B57IAj3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DA3A3DF8D4B39D54A9B5E6C0ECABB4302619AB80B09AEED93CA5CE8642B58B9C3325CD028031B59B0CBB8810309DBB8CE253O4c8P" TargetMode="External"/><Relationship Id="rId11" Type="http://schemas.openxmlformats.org/officeDocument/2006/relationships/hyperlink" Target="consultantplus://offline/ref=343F2452E53FB222F7211264CE9152A255CDE9BF02805A294AC4FB8842221CE20C26D2FC21B6EADCB32BA11DB95FA4B4331F2C7BO945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3B7E68BE50FF218CABC444B0CF23F1F17D71AF255483EC234B9C7A73D2DCCB5AFBCCC658D8935D0B7319D63237E7370C4676016F85B6306P76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123F8900AE508CD6980FE0820D135F391B8BE38BC9D5208792273F0ABBCEC323069E10DDF8DD874A4703B68FA6F551DD9B1F66AE2C66A64478DF077sFa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2019-04-24T06:58:00Z</dcterms:created>
  <dcterms:modified xsi:type="dcterms:W3CDTF">2019-04-24T09:34:00Z</dcterms:modified>
</cp:coreProperties>
</file>